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067AF715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5E5168">
        <w:rPr>
          <w:rFonts w:ascii="Times New Roman" w:hAnsi="Times New Roman" w:cs="Times New Roman"/>
          <w:b/>
          <w:sz w:val="24"/>
          <w:szCs w:val="24"/>
        </w:rPr>
        <w:t>księgowości  i windykacji opłat za gospodarowanie odpadami komunalnymi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57D8D7C2" w14:textId="033E903E" w:rsidR="00813E5B" w:rsidRPr="003A6068" w:rsidRDefault="00361976" w:rsidP="003A60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niepotrzebne skreślić </w:t>
      </w:r>
    </w:p>
    <w:sectPr w:rsidR="00813E5B" w:rsidRPr="003A606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D4A63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A6068"/>
    <w:rsid w:val="003C0019"/>
    <w:rsid w:val="004147B2"/>
    <w:rsid w:val="00425DF3"/>
    <w:rsid w:val="004740E1"/>
    <w:rsid w:val="004831F7"/>
    <w:rsid w:val="004D1D2B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2</cp:revision>
  <cp:lastPrinted>2022-03-12T07:57:00Z</cp:lastPrinted>
  <dcterms:created xsi:type="dcterms:W3CDTF">2022-03-14T10:07:00Z</dcterms:created>
  <dcterms:modified xsi:type="dcterms:W3CDTF">2022-03-14T10:07:00Z</dcterms:modified>
</cp:coreProperties>
</file>